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枣庄市妇女儿童事业发展中心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主管部门：枣庄市妇联                                           主管部门负责人：鲁海燕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2291"/>
        <w:gridCol w:w="4369"/>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22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43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1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trPr>
        <w:tc>
          <w:tcPr>
            <w:tcW w:w="2834"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283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重点（职能）工作</w:t>
            </w:r>
          </w:p>
        </w:tc>
        <w:tc>
          <w:tcPr>
            <w:tcW w:w="229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思想作风能力建设工作</w:t>
            </w:r>
          </w:p>
        </w:tc>
        <w:tc>
          <w:tcPr>
            <w:tcW w:w="4369"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参加全市妇联系统“巾帼领头雁淬炼行动”“思想能力作风建设暨工作规范提升行动”等活动，并结合差异化考核、主题党日活动、廉政警示教育、青年理论学习小组学习等形式，全面提升中心全体人员的履职能力和综合素养。</w:t>
            </w:r>
          </w:p>
        </w:tc>
        <w:tc>
          <w:tcPr>
            <w:tcW w:w="1845" w:type="dxa"/>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834"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2835"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重点（职能）工作</w:t>
            </w:r>
          </w:p>
        </w:tc>
        <w:tc>
          <w:tcPr>
            <w:tcW w:w="2291"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巾帼工业企业服务工作</w:t>
            </w:r>
          </w:p>
        </w:tc>
        <w:tc>
          <w:tcPr>
            <w:tcW w:w="4369"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通过开展演讲比赛、政策宣讲等活动，提振岗位女性奋发进取精神;通过金融服务、助企志愿服务等形式助力企业复工复产。</w:t>
            </w:r>
          </w:p>
        </w:tc>
        <w:tc>
          <w:tcPr>
            <w:tcW w:w="1845" w:type="dxa"/>
            <w:tcBorders>
              <w:top w:val="single" w:color="000000"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妇女创业就业指导工作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通过开展“春风行动”“雏凤”计划等，促进女性高质量就业。</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妇女技能培训工作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开展巾帼家政及技能培训50期，培训妇女1000人。</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重点项目帮包服务工作</w:t>
            </w:r>
          </w:p>
        </w:tc>
        <w:tc>
          <w:tcPr>
            <w:tcW w:w="4369"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完成连银山新型轻质混凝土板材生产及增强纤维板深加工生产线建设项目和山东欧科食品检测中心项目全年投资计划,做好帮包服务工作。</w:t>
            </w:r>
          </w:p>
        </w:tc>
        <w:tc>
          <w:tcPr>
            <w:tcW w:w="1845" w:type="dxa"/>
            <w:tcBorders>
              <w:top w:val="single" w:color="000000"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834"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围绕中心履职尽责（400分）</w:t>
            </w:r>
          </w:p>
        </w:tc>
        <w:tc>
          <w:tcPr>
            <w:tcW w:w="2835"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重点（职能）工作</w:t>
            </w: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“美丽庭院”创建工作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持续深化“美丽庭院”创建，2022年底，全市25%的农村常住庭院建成“美丽庭院”。</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家庭文明建设工作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协助妇联机关评选“最美家庭”70户，“五好家庭”50户，“绿色家庭”200户，并进行宣传表扬。</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妇女群众思想文化线下宣传工作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线下开展“巾帼心向党 喜迎二十大”群众性宣传教育活动50场。</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妇女群众思想文化线上宣传工作</w:t>
            </w:r>
          </w:p>
        </w:tc>
        <w:tc>
          <w:tcPr>
            <w:tcW w:w="4369"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线上开设市“两会”女代表风采展示，庆“三八”暨“优化营商环境等专栏，完成市妇联机关交办的其他线上宣传任务。</w:t>
            </w:r>
          </w:p>
        </w:tc>
        <w:tc>
          <w:tcPr>
            <w:tcW w:w="1845" w:type="dxa"/>
            <w:tcBorders>
              <w:top w:val="single" w:color="000000"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2834"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围绕中心履职尽责（400分）</w:t>
            </w:r>
          </w:p>
        </w:tc>
        <w:tc>
          <w:tcPr>
            <w:tcW w:w="2835"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重点（职能）工作</w:t>
            </w: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妇联系统人员教育培训工作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实施好基层妇联组织成员素质提升工程，提升妇联系统人员的政治素质、文化素质、管理水平，年度完成培训1500人。</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基层妇联服务阵地建设工作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对6个省级妇女儿童家园开展提质增效工程，进一步规范服务阵地；建成10所留守儿童活动站，服务更多留守儿童。</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妇女儿童关爱服务工作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救助低收入“两癌”患病妇女150人;做好“爱心妈妈”招募工作，2022年新招募300名。</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妇女儿童权益维护工作</w:t>
            </w:r>
          </w:p>
        </w:tc>
        <w:tc>
          <w:tcPr>
            <w:tcW w:w="4369" w:type="dxa"/>
            <w:tcBorders>
              <w:top w:val="single" w:color="000000"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开展“幸福护航”婚姻家庭辅导行动，提升婚姻辅导工作水平，全市辅导拟离婚人员不少于2000对。</w:t>
            </w:r>
          </w:p>
        </w:tc>
        <w:tc>
          <w:tcPr>
            <w:tcW w:w="1845" w:type="dxa"/>
            <w:tcBorders>
              <w:top w:val="single" w:color="000000"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2834"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围绕中心履职尽责（400分）</w:t>
            </w:r>
          </w:p>
        </w:tc>
        <w:tc>
          <w:tcPr>
            <w:tcW w:w="2835"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重点（职能）工作</w:t>
            </w: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“十四五”妇女儿童发展规划推动实施工作</w:t>
            </w:r>
          </w:p>
        </w:tc>
        <w:tc>
          <w:tcPr>
            <w:tcW w:w="4369"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妇联机关建立“十四五”妇女儿童发展规划监测统计指标体系，建设市级妇女儿童监测统计数据直报平台；完成“十四五”妇女儿童发展规划目标责任分解，层层细化指标，夯实工作责任；开展“十四五”妇女儿童发展规划宣传活动。</w:t>
            </w:r>
          </w:p>
        </w:tc>
        <w:tc>
          <w:tcPr>
            <w:tcW w:w="18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贯彻落实男女平等基本国策工作</w:t>
            </w:r>
          </w:p>
        </w:tc>
        <w:tc>
          <w:tcPr>
            <w:tcW w:w="4369"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在全市开展“性别平等教育进中小学项目”调研工作，指导试点学校将性别平等教育内容融入学校教育教学课程及校园文化活动。</w:t>
            </w:r>
          </w:p>
        </w:tc>
        <w:tc>
          <w:tcPr>
            <w:tcW w:w="1845"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15分</w:t>
            </w:r>
          </w:p>
        </w:tc>
      </w:tr>
    </w:tbl>
    <w:p>
      <w:pPr>
        <w:rPr>
          <w:rFonts w:hint="default"/>
          <w:lang w:val="en-US"/>
        </w:rPr>
      </w:pPr>
      <w:r>
        <w:rPr>
          <w:rFonts w:hint="eastAsia" w:ascii="仿宋_GB2312" w:hAnsi="仿宋_GB2312" w:eastAsia="仿宋_GB2312" w:cs="仿宋_GB2312"/>
          <w:sz w:val="32"/>
          <w:szCs w:val="32"/>
          <w:lang w:val="en-US" w:eastAsia="zh-CN"/>
        </w:rPr>
        <w:t>填报人：张建秋                                                     联系电话：3318617</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embedRegular r:id="rId1" w:fontKey="{184D2B4E-5700-469B-AF09-AC82FFFBBE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1D49E97F-7E71-4668-8D91-EB4949F27FCF}"/>
  </w:font>
  <w:font w:name="仿宋_GB2312">
    <w:panose1 w:val="02010609030101010101"/>
    <w:charset w:val="86"/>
    <w:family w:val="auto"/>
    <w:pitch w:val="default"/>
    <w:sig w:usb0="00000001" w:usb1="080E0000" w:usb2="00000000" w:usb3="00000000" w:csb0="00040000" w:csb1="00000000"/>
    <w:embedRegular r:id="rId3" w:fontKey="{F9000107-8F77-4EAC-9D33-19BA10EDD93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NjAxYmViZDRjZTA1YTRmMTE3ZDU4Nzk4NjUzZWYifQ=="/>
  </w:docVars>
  <w:rsids>
    <w:rsidRoot w:val="6EAE066C"/>
    <w:rsid w:val="0314147E"/>
    <w:rsid w:val="03D60954"/>
    <w:rsid w:val="11627C72"/>
    <w:rsid w:val="1F236228"/>
    <w:rsid w:val="22E06C9B"/>
    <w:rsid w:val="307E4A31"/>
    <w:rsid w:val="31751F07"/>
    <w:rsid w:val="3DF7550A"/>
    <w:rsid w:val="3ED35100"/>
    <w:rsid w:val="42BB1050"/>
    <w:rsid w:val="43BB4DC5"/>
    <w:rsid w:val="48B9635D"/>
    <w:rsid w:val="4E77565F"/>
    <w:rsid w:val="56852DEC"/>
    <w:rsid w:val="58854F33"/>
    <w:rsid w:val="598674B3"/>
    <w:rsid w:val="5AFE1AC9"/>
    <w:rsid w:val="5BBE3A87"/>
    <w:rsid w:val="695F0BBD"/>
    <w:rsid w:val="6DFF2EC1"/>
    <w:rsid w:val="6EAE066C"/>
    <w:rsid w:val="7BABBF40"/>
    <w:rsid w:val="7BFFBE9C"/>
    <w:rsid w:val="7FCE28D6"/>
    <w:rsid w:val="A9EA46B1"/>
    <w:rsid w:val="BBCFA6D9"/>
    <w:rsid w:val="CFFE3DC0"/>
    <w:rsid w:val="DEAE6B2B"/>
    <w:rsid w:val="E3B7CF5A"/>
    <w:rsid w:val="EDFF63C0"/>
    <w:rsid w:val="F57B59E6"/>
    <w:rsid w:val="F7BF75AA"/>
    <w:rsid w:val="FBD20814"/>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1150</Words>
  <Characters>1212</Characters>
  <Lines>0</Lines>
  <Paragraphs>0</Paragraphs>
  <TotalTime>0</TotalTime>
  <ScaleCrop>false</ScaleCrop>
  <LinksUpToDate>false</LinksUpToDate>
  <CharactersWithSpaces>1310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2022-07-06T03:51:00Z</dcterms:created>
  <dc:creator>℡倁昜垳難〆~*</dc:creator>
  <cp:lastModifiedBy>Administrator</cp:lastModifiedBy>
  <cp:lastPrinted>2022-07-17T10:32:00Z</cp:lastPrinted>
  <dcterms:modified xsi:type="dcterms:W3CDTF">2022-07-19T08:43:37Z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4D3C3E983B5641F1982C35CF399B35FA</vt:lpwstr>
  </property>
</Properties>
</file>